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ascii="Times New Roman" w:hAnsi="Times New Roman" w:eastAsia="方正小标宋简体" w:cs="方正仿宋简体"/>
          <w:color w:val="000000"/>
          <w:sz w:val="32"/>
          <w:szCs w:val="32"/>
          <w:lang w:eastAsia="zh-CN"/>
        </w:rPr>
        <w:t>羽绒服</w:t>
      </w:r>
      <w:r>
        <w:rPr>
          <w:rFonts w:hint="eastAsia" w:ascii="Times New Roman" w:hAnsi="Times New Roman" w:eastAsia="方正小标宋简体" w:cs="方正仿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3DA3111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抽样基数满足抽样数量即可，抽取样品数量见下表：</w:t>
      </w:r>
    </w:p>
    <w:p w14:paraId="50C6F4C9">
      <w:pPr>
        <w:keepNext w:val="0"/>
        <w:keepLines w:val="0"/>
        <w:pageBreakBefore w:val="0"/>
        <w:widowControl w:val="0"/>
        <w:kinsoku/>
        <w:wordWrap/>
        <w:overflowPunct/>
        <w:topLinePunct w:val="0"/>
        <w:autoSpaceDE/>
        <w:autoSpaceDN/>
        <w:bidi w:val="0"/>
        <w:adjustRightInd/>
        <w:snapToGrid/>
        <w:spacing w:line="520" w:lineRule="exact"/>
        <w:ind w:left="0" w:leftChars="0" w:right="0" w:rightChars="0" w:firstLine="0" w:firstLineChars="0"/>
        <w:jc w:val="center"/>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表1 抽取样品数量</w:t>
      </w:r>
    </w:p>
    <w:tbl>
      <w:tblPr>
        <w:tblStyle w:val="5"/>
        <w:tblW w:w="867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9"/>
        <w:gridCol w:w="1984"/>
        <w:gridCol w:w="2381"/>
        <w:gridCol w:w="1814"/>
        <w:gridCol w:w="1814"/>
      </w:tblGrid>
      <w:tr w14:paraId="2CCA2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29BE284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序号</w:t>
            </w:r>
          </w:p>
        </w:tc>
        <w:tc>
          <w:tcPr>
            <w:tcW w:w="1984" w:type="dxa"/>
            <w:vAlign w:val="center"/>
          </w:tcPr>
          <w:p w14:paraId="08D89C3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产品种类</w:t>
            </w:r>
          </w:p>
        </w:tc>
        <w:tc>
          <w:tcPr>
            <w:tcW w:w="2381" w:type="dxa"/>
            <w:vAlign w:val="center"/>
          </w:tcPr>
          <w:p w14:paraId="14B6BDB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抽样数量（件/条/套）</w:t>
            </w:r>
          </w:p>
        </w:tc>
        <w:tc>
          <w:tcPr>
            <w:tcW w:w="1814" w:type="dxa"/>
            <w:vAlign w:val="center"/>
          </w:tcPr>
          <w:p w14:paraId="00847F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检验样品数量（件/条/套）</w:t>
            </w:r>
          </w:p>
        </w:tc>
        <w:tc>
          <w:tcPr>
            <w:tcW w:w="1814" w:type="dxa"/>
            <w:vAlign w:val="center"/>
          </w:tcPr>
          <w:p w14:paraId="68B7216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备用样品数量（件/条/套）</w:t>
            </w:r>
          </w:p>
        </w:tc>
      </w:tr>
      <w:tr w14:paraId="154E1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679" w:type="dxa"/>
            <w:vAlign w:val="center"/>
          </w:tcPr>
          <w:p w14:paraId="055C788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1984" w:type="dxa"/>
            <w:vAlign w:val="center"/>
          </w:tcPr>
          <w:p w14:paraId="4CC7F8F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eastAsia="zh-CN"/>
              </w:rPr>
            </w:pPr>
            <w:r>
              <w:rPr>
                <w:rFonts w:hint="eastAsia" w:ascii="Times New Roman" w:hAnsi="Times New Roman" w:eastAsia="宋体" w:cs="宋体"/>
                <w:sz w:val="22"/>
                <w:szCs w:val="28"/>
                <w:vertAlign w:val="baseline"/>
                <w:lang w:eastAsia="zh-CN"/>
              </w:rPr>
              <w:t>羽绒服</w:t>
            </w:r>
          </w:p>
        </w:tc>
        <w:tc>
          <w:tcPr>
            <w:tcW w:w="2381" w:type="dxa"/>
            <w:vAlign w:val="center"/>
          </w:tcPr>
          <w:p w14:paraId="79DD11D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2</w:t>
            </w:r>
          </w:p>
        </w:tc>
        <w:tc>
          <w:tcPr>
            <w:tcW w:w="1814" w:type="dxa"/>
            <w:vAlign w:val="center"/>
          </w:tcPr>
          <w:p w14:paraId="0839555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c>
          <w:tcPr>
            <w:tcW w:w="1814" w:type="dxa"/>
            <w:vAlign w:val="center"/>
          </w:tcPr>
          <w:p w14:paraId="4D0AA7C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w:t>
            </w:r>
          </w:p>
        </w:tc>
      </w:tr>
      <w:tr w14:paraId="3105E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blHeader/>
          <w:jc w:val="center"/>
        </w:trPr>
        <w:tc>
          <w:tcPr>
            <w:tcW w:w="8672" w:type="dxa"/>
            <w:gridSpan w:val="5"/>
            <w:vAlign w:val="center"/>
          </w:tcPr>
          <w:p w14:paraId="4CFEED6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both"/>
              <w:textAlignment w:val="auto"/>
              <w:rPr>
                <w:rFonts w:hint="eastAsia" w:ascii="Times New Roman" w:hAnsi="Times New Roman" w:eastAsia="宋体" w:cs="宋体"/>
                <w:sz w:val="22"/>
                <w:szCs w:val="28"/>
                <w:vertAlign w:val="baseline"/>
              </w:rPr>
            </w:pPr>
            <w:r>
              <w:rPr>
                <w:rFonts w:hint="eastAsia" w:ascii="Times New Roman" w:hAnsi="Times New Roman" w:eastAsia="宋体" w:cs="宋体"/>
                <w:sz w:val="22"/>
                <w:szCs w:val="28"/>
                <w:vertAlign w:val="baseline"/>
              </w:rPr>
              <w:t>注：如样品面积过小，可适当增加抽样数量，不得超过检验、复检的合理需要。</w:t>
            </w:r>
          </w:p>
        </w:tc>
      </w:tr>
    </w:tbl>
    <w:p w14:paraId="0A88AD6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eastAsia" w:ascii="Times New Roman" w:hAnsi="Times New Roman" w:eastAsia="宋体" w:cs="宋体"/>
          <w:sz w:val="22"/>
          <w:szCs w:val="28"/>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tbl>
      <w:tblPr>
        <w:tblStyle w:val="4"/>
        <w:tblW w:w="4998"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567"/>
        <w:gridCol w:w="2884"/>
        <w:gridCol w:w="2947"/>
        <w:gridCol w:w="2459"/>
      </w:tblGrid>
      <w:tr w14:paraId="26747F6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92" w:hRule="atLeast"/>
          <w:tblHeader/>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196438A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序号</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549AC47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检验项目</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5003BAA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检验依据</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1870D6B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检验方法</w:t>
            </w:r>
          </w:p>
        </w:tc>
      </w:tr>
      <w:tr w14:paraId="38C86AB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126"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79B7741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1</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31AAEFB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甲醛含量</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76A8508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18401—2010</w:t>
            </w:r>
          </w:p>
          <w:p w14:paraId="59C7037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3733CD0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2912.1—2009</w:t>
            </w:r>
          </w:p>
        </w:tc>
      </w:tr>
      <w:tr w14:paraId="133376F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06B5669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2</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5C50141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pH值</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3B12483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18401—2010</w:t>
            </w:r>
          </w:p>
          <w:p w14:paraId="7547DCC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19738A2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7573—2009</w:t>
            </w:r>
          </w:p>
        </w:tc>
      </w:tr>
      <w:tr w14:paraId="098EE4E3">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3D9E216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3</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377EBF8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可分解致癌芳香胺染料</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62ED870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18401—2010</w:t>
            </w:r>
          </w:p>
          <w:p w14:paraId="4447868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79C121B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17592—2024</w:t>
            </w:r>
          </w:p>
          <w:p w14:paraId="34BD959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23344—2009</w:t>
            </w:r>
          </w:p>
        </w:tc>
      </w:tr>
      <w:tr w14:paraId="0DD44298">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3FBA6BF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4</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3E80B2D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耐水色牢度</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1276F7A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18401—2010</w:t>
            </w:r>
          </w:p>
          <w:p w14:paraId="70AB669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p w14:paraId="4F9E8A9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FZ/T 73053—2015</w:t>
            </w:r>
          </w:p>
          <w:p w14:paraId="476CEC7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bookmarkStart w:id="0" w:name="OLE_LINK5"/>
            <w:bookmarkStart w:id="1" w:name="OLE_LINK1"/>
            <w:bookmarkStart w:id="2" w:name="OLE_LINK4"/>
            <w:r>
              <w:rPr>
                <w:rFonts w:hint="default" w:ascii="Times New Roman" w:hAnsi="Times New Roman" w:eastAsia="宋体" w:cs="宋体"/>
                <w:sz w:val="22"/>
                <w:szCs w:val="28"/>
                <w:vertAlign w:val="baseline"/>
                <w:lang w:val="en-US" w:eastAsia="zh-CN"/>
              </w:rPr>
              <w:t>GB/T 14272</w:t>
            </w:r>
            <w:bookmarkEnd w:id="0"/>
            <w:bookmarkEnd w:id="1"/>
            <w:bookmarkEnd w:id="2"/>
            <w:r>
              <w:rPr>
                <w:rFonts w:hint="default" w:ascii="Times New Roman" w:hAnsi="Times New Roman" w:eastAsia="宋体" w:cs="宋体"/>
                <w:sz w:val="22"/>
                <w:szCs w:val="28"/>
                <w:vertAlign w:val="baseline"/>
                <w:lang w:val="en-US" w:eastAsia="zh-CN"/>
              </w:rPr>
              <w:t>—2011</w:t>
            </w:r>
          </w:p>
          <w:p w14:paraId="4EC0A2A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14272—2021</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0BC3660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5713—2013</w:t>
            </w:r>
          </w:p>
        </w:tc>
      </w:tr>
      <w:tr w14:paraId="17F39256">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46EAD3E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5</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4284C92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耐酸汗渍色牢度</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56EF5E4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 xml:space="preserve">GB 18401—2010 </w:t>
            </w:r>
          </w:p>
          <w:p w14:paraId="2A074D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p w14:paraId="230574E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14272—2021</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0196CA6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3922—2013</w:t>
            </w:r>
          </w:p>
        </w:tc>
      </w:tr>
      <w:tr w14:paraId="4B45A3DF">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72F93C0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6</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5DA9093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耐碱汗渍色牢度</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3DB68D6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18401—2010</w:t>
            </w:r>
          </w:p>
          <w:p w14:paraId="13340F3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p w14:paraId="47EE6A3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14272—2021</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5C646A9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3922—2013</w:t>
            </w:r>
          </w:p>
        </w:tc>
      </w:tr>
      <w:tr w14:paraId="5A128E77">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371E91E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7</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629A674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耐干摩擦色牢度</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6571953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18401—2010</w:t>
            </w:r>
          </w:p>
          <w:p w14:paraId="7E92B1C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p w14:paraId="0FDD293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FZ/T 73053—2015</w:t>
            </w:r>
          </w:p>
          <w:p w14:paraId="78A0D4E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14272—2011</w:t>
            </w:r>
          </w:p>
          <w:p w14:paraId="5357E13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14272—2021</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4C16ADF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3920—2008</w:t>
            </w:r>
          </w:p>
        </w:tc>
      </w:tr>
      <w:tr w14:paraId="0996F98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62"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4C2201B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8</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6D8E2E1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耐湿摩擦色牢度</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458148C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02448B3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3920—2008</w:t>
            </w:r>
          </w:p>
        </w:tc>
      </w:tr>
      <w:tr w14:paraId="75C2A8D0">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107D98A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9</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307587E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异味</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7308628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 xml:space="preserve">GB 18401—2010 </w:t>
            </w:r>
          </w:p>
          <w:p w14:paraId="0EE89E0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39DFEA0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18401—2010</w:t>
            </w:r>
          </w:p>
        </w:tc>
      </w:tr>
      <w:tr w14:paraId="1211335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17"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4F9E776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10</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0F1549B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default" w:ascii="Times New Roman" w:hAnsi="Times New Roman" w:eastAsia="宋体" w:cs="宋体"/>
                <w:sz w:val="22"/>
                <w:szCs w:val="28"/>
                <w:highlight w:val="none"/>
                <w:vertAlign w:val="baseline"/>
                <w:lang w:val="en-US" w:eastAsia="zh-CN"/>
              </w:rPr>
              <w:t>耐唾液色牢度</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0F23357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72CA9CC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18886—2019</w:t>
            </w:r>
          </w:p>
        </w:tc>
      </w:tr>
      <w:tr w14:paraId="3390CFEA">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47"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4FC5B2E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11</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3F054FE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default" w:ascii="Times New Roman" w:hAnsi="Times New Roman" w:eastAsia="宋体" w:cs="宋体"/>
                <w:sz w:val="22"/>
                <w:szCs w:val="28"/>
                <w:highlight w:val="none"/>
                <w:vertAlign w:val="baseline"/>
                <w:lang w:val="en-US" w:eastAsia="zh-CN"/>
              </w:rPr>
              <w:t>重金属</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2C8BE8E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48B7701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30157—2013</w:t>
            </w:r>
          </w:p>
        </w:tc>
      </w:tr>
      <w:tr w14:paraId="2C414F3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77"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1467967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12</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3E3FEB7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default" w:ascii="Times New Roman" w:hAnsi="Times New Roman" w:eastAsia="宋体" w:cs="宋体"/>
                <w:sz w:val="22"/>
                <w:szCs w:val="28"/>
                <w:highlight w:val="none"/>
                <w:vertAlign w:val="baseline"/>
                <w:lang w:val="en-US" w:eastAsia="zh-CN"/>
              </w:rPr>
              <w:t>邻苯二甲酸酯</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636342F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2337341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20388—2016</w:t>
            </w:r>
          </w:p>
        </w:tc>
      </w:tr>
      <w:tr w14:paraId="5842A6F1">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112D54D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13</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6781D54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default" w:ascii="Times New Roman" w:hAnsi="Times New Roman" w:eastAsia="宋体" w:cs="宋体"/>
                <w:sz w:val="22"/>
                <w:szCs w:val="28"/>
                <w:highlight w:val="none"/>
                <w:vertAlign w:val="baseline"/>
                <w:lang w:val="en-US" w:eastAsia="zh-CN"/>
              </w:rPr>
              <w:t>附件的要求</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1EBA2D54">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4E87895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p w14:paraId="5C05C859">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31702—2015</w:t>
            </w:r>
          </w:p>
        </w:tc>
      </w:tr>
      <w:tr w14:paraId="77A9C62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507"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7036DE0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14</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7968F08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highlight w:val="none"/>
                <w:vertAlign w:val="baseline"/>
                <w:lang w:val="en-US" w:eastAsia="zh-CN"/>
              </w:rPr>
            </w:pPr>
            <w:r>
              <w:rPr>
                <w:rFonts w:hint="default" w:ascii="Times New Roman" w:hAnsi="Times New Roman" w:eastAsia="宋体" w:cs="宋体"/>
                <w:sz w:val="22"/>
                <w:szCs w:val="28"/>
                <w:highlight w:val="none"/>
                <w:vertAlign w:val="baseline"/>
                <w:lang w:val="en-US" w:eastAsia="zh-CN"/>
              </w:rPr>
              <w:t>其他要求</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2780339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1A29CA7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 31701—2015</w:t>
            </w:r>
          </w:p>
        </w:tc>
      </w:tr>
      <w:tr w14:paraId="1CB7814E">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76B3164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15</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176A2C8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纤维含量</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02B9DCEF">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29862—2013</w:t>
            </w:r>
          </w:p>
          <w:p w14:paraId="157F032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 xml:space="preserve">  </w:t>
            </w:r>
            <w:r>
              <w:rPr>
                <w:rFonts w:hint="default" w:ascii="Times New Roman" w:hAnsi="Times New Roman" w:eastAsia="宋体" w:cs="宋体"/>
                <w:sz w:val="22"/>
                <w:szCs w:val="28"/>
                <w:vertAlign w:val="baseline"/>
                <w:lang w:val="en-US" w:eastAsia="zh-CN"/>
              </w:rPr>
              <w:t>相应产品标准</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32C7E40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FZ/T 01057.1—2007</w:t>
            </w:r>
          </w:p>
          <w:p w14:paraId="4086735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FZ/T 01057.2—2007</w:t>
            </w:r>
          </w:p>
          <w:p w14:paraId="4445D1B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FZ/T 01057.3—2007</w:t>
            </w:r>
          </w:p>
          <w:p w14:paraId="5E3756C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FZ/T 01057.4—2007</w:t>
            </w:r>
          </w:p>
          <w:p w14:paraId="69E1130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FZ/T 01057.</w:t>
            </w:r>
            <w:r>
              <w:rPr>
                <w:rFonts w:hint="eastAsia" w:ascii="Times New Roman" w:hAnsi="Times New Roman" w:eastAsia="宋体" w:cs="宋体"/>
                <w:color w:val="auto"/>
                <w:sz w:val="22"/>
                <w:szCs w:val="28"/>
                <w:vertAlign w:val="baseline"/>
                <w:lang w:val="en-US" w:eastAsia="zh-CN"/>
              </w:rPr>
              <w:t>6</w:t>
            </w:r>
            <w:r>
              <w:rPr>
                <w:rFonts w:hint="default" w:ascii="Times New Roman" w:hAnsi="Times New Roman" w:eastAsia="宋体" w:cs="宋体"/>
                <w:color w:val="auto"/>
                <w:sz w:val="22"/>
                <w:szCs w:val="28"/>
                <w:vertAlign w:val="baseline"/>
                <w:lang w:val="en-US" w:eastAsia="zh-CN"/>
              </w:rPr>
              <w:t>—2007</w:t>
            </w:r>
          </w:p>
          <w:p w14:paraId="493C28F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GB/T 2910.1—2009</w:t>
            </w:r>
          </w:p>
          <w:p w14:paraId="49E8300A">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GB/T 2910.2—2009</w:t>
            </w:r>
          </w:p>
          <w:p w14:paraId="6B9D321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GB/T 2910.3—2009</w:t>
            </w:r>
          </w:p>
          <w:p w14:paraId="75A5881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GB/T 2910.4—2022</w:t>
            </w:r>
          </w:p>
          <w:p w14:paraId="1211C07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trike/>
                <w:dstrike w:val="0"/>
                <w:color w:val="auto"/>
                <w:sz w:val="22"/>
                <w:szCs w:val="28"/>
                <w:vertAlign w:val="baseline"/>
                <w:lang w:val="en-US" w:eastAsia="zh-CN"/>
              </w:rPr>
            </w:pPr>
            <w:r>
              <w:rPr>
                <w:rFonts w:hint="default" w:ascii="Times New Roman" w:hAnsi="Times New Roman" w:eastAsia="宋体" w:cs="宋体"/>
                <w:strike w:val="0"/>
                <w:dstrike w:val="0"/>
                <w:color w:val="auto"/>
                <w:sz w:val="22"/>
                <w:szCs w:val="28"/>
                <w:vertAlign w:val="baseline"/>
                <w:lang w:val="en-US" w:eastAsia="zh-CN"/>
              </w:rPr>
              <w:t>GB/T 2910.5—2009</w:t>
            </w:r>
          </w:p>
          <w:p w14:paraId="160BCE8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GB/T 2910.6—2009</w:t>
            </w:r>
          </w:p>
          <w:p w14:paraId="34C2FCAC">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GB/T 2910.7—2009</w:t>
            </w:r>
          </w:p>
          <w:p w14:paraId="31337FA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GB/T 2910.11—20</w:t>
            </w:r>
            <w:r>
              <w:rPr>
                <w:rFonts w:hint="eastAsia" w:ascii="Times New Roman" w:hAnsi="Times New Roman" w:eastAsia="宋体" w:cs="宋体"/>
                <w:color w:val="auto"/>
                <w:sz w:val="22"/>
                <w:szCs w:val="28"/>
                <w:vertAlign w:val="baseline"/>
                <w:lang w:val="en-US" w:eastAsia="zh-CN"/>
              </w:rPr>
              <w:t>24</w:t>
            </w:r>
          </w:p>
          <w:p w14:paraId="1B2E491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GB/T 2910.12—2023</w:t>
            </w:r>
          </w:p>
          <w:p w14:paraId="2CDA7542">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GB/T 2910.20—2009</w:t>
            </w:r>
          </w:p>
          <w:p w14:paraId="4BEAD0F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GB/T 2910.22—2009</w:t>
            </w:r>
          </w:p>
          <w:p w14:paraId="6664199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GB/T 38015—2019</w:t>
            </w:r>
          </w:p>
          <w:p w14:paraId="08475D5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FZ/T 01101—2008</w:t>
            </w:r>
          </w:p>
          <w:p w14:paraId="17E6E7E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FZ/T 01112—2012</w:t>
            </w:r>
          </w:p>
          <w:p w14:paraId="56E7699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FZ/T 01026—2017</w:t>
            </w:r>
          </w:p>
          <w:p w14:paraId="56D0CCE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FZ/T 30003—2009</w:t>
            </w:r>
          </w:p>
          <w:p w14:paraId="48D0E1B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color w:val="auto"/>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FZ/T 30003—20</w:t>
            </w:r>
            <w:r>
              <w:rPr>
                <w:rFonts w:hint="eastAsia" w:ascii="Times New Roman" w:hAnsi="Times New Roman" w:eastAsia="宋体" w:cs="宋体"/>
                <w:color w:val="auto"/>
                <w:sz w:val="22"/>
                <w:szCs w:val="28"/>
                <w:vertAlign w:val="baseline"/>
                <w:lang w:val="en-US" w:eastAsia="zh-CN"/>
              </w:rPr>
              <w:t>24</w:t>
            </w:r>
          </w:p>
          <w:p w14:paraId="3CDA2CC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color w:val="auto"/>
                <w:sz w:val="22"/>
                <w:szCs w:val="28"/>
                <w:vertAlign w:val="baseline"/>
                <w:lang w:val="en-US" w:eastAsia="zh-CN"/>
              </w:rPr>
              <w:t>FZ/T 16988—2013</w:t>
            </w:r>
            <w:r>
              <w:rPr>
                <w:rFonts w:hint="eastAsia" w:ascii="Times New Roman" w:hAnsi="Times New Roman" w:eastAsia="宋体" w:cs="宋体"/>
                <w:sz w:val="22"/>
                <w:szCs w:val="28"/>
                <w:vertAlign w:val="baseline"/>
                <w:lang w:val="en-US" w:eastAsia="zh-CN"/>
              </w:rPr>
              <w:t>等</w:t>
            </w:r>
          </w:p>
        </w:tc>
      </w:tr>
      <w:tr w14:paraId="4428686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02"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4B545188">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1</w:t>
            </w:r>
            <w:r>
              <w:rPr>
                <w:rFonts w:hint="eastAsia" w:ascii="Times New Roman" w:hAnsi="Times New Roman" w:eastAsia="宋体" w:cs="宋体"/>
                <w:sz w:val="22"/>
                <w:szCs w:val="28"/>
                <w:vertAlign w:val="baseline"/>
                <w:lang w:val="en-US" w:eastAsia="zh-CN"/>
              </w:rPr>
              <w:t>6</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6F15E951">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绒子含量</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1214D03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14272—2021</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38BC4553">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14272—2021</w:t>
            </w:r>
          </w:p>
          <w:p w14:paraId="0A1B28E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10288—2016</w:t>
            </w:r>
          </w:p>
        </w:tc>
      </w:tr>
      <w:tr w14:paraId="0A586CB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33654D40">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1</w:t>
            </w:r>
            <w:r>
              <w:rPr>
                <w:rFonts w:hint="eastAsia" w:ascii="Times New Roman" w:hAnsi="Times New Roman" w:eastAsia="宋体" w:cs="宋体"/>
                <w:sz w:val="22"/>
                <w:szCs w:val="28"/>
                <w:vertAlign w:val="baseline"/>
                <w:lang w:val="en-US" w:eastAsia="zh-CN"/>
              </w:rPr>
              <w:t>7</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123AE82B">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鹅毛绒含量</w:t>
            </w:r>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088FC20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14272—2021</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2C055DC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10288—2016</w:t>
            </w:r>
          </w:p>
          <w:p w14:paraId="659140D6">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14272—2021</w:t>
            </w:r>
          </w:p>
        </w:tc>
      </w:tr>
      <w:tr w14:paraId="10E3BDCB">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90" w:hRule="atLeast"/>
          <w:jc w:val="center"/>
        </w:trPr>
        <w:tc>
          <w:tcPr>
            <w:tcW w:w="320" w:type="pct"/>
            <w:tcBorders>
              <w:top w:val="outset" w:color="000000" w:sz="6" w:space="0"/>
              <w:left w:val="outset" w:color="000000" w:sz="6" w:space="0"/>
              <w:bottom w:val="outset" w:color="000000" w:sz="6" w:space="0"/>
              <w:right w:val="outset" w:color="000000" w:sz="6" w:space="0"/>
            </w:tcBorders>
            <w:noWrap w:val="0"/>
            <w:vAlign w:val="center"/>
          </w:tcPr>
          <w:p w14:paraId="71C85257">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eastAsia" w:ascii="Times New Roman" w:hAnsi="Times New Roman" w:eastAsia="宋体" w:cs="宋体"/>
                <w:sz w:val="22"/>
                <w:szCs w:val="28"/>
                <w:vertAlign w:val="baseline"/>
                <w:lang w:val="en-US" w:eastAsia="zh-CN"/>
              </w:rPr>
              <w:t>18</w:t>
            </w:r>
          </w:p>
        </w:tc>
        <w:tc>
          <w:tcPr>
            <w:tcW w:w="1628" w:type="pct"/>
            <w:tcBorders>
              <w:top w:val="outset" w:color="000000" w:sz="6" w:space="0"/>
              <w:left w:val="outset" w:color="000000" w:sz="6" w:space="0"/>
              <w:bottom w:val="outset" w:color="000000" w:sz="6" w:space="0"/>
              <w:right w:val="single" w:color="auto" w:sz="4" w:space="0"/>
            </w:tcBorders>
            <w:noWrap w:val="0"/>
            <w:vAlign w:val="center"/>
          </w:tcPr>
          <w:p w14:paraId="47EE047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bookmarkStart w:id="3" w:name="OLE_LINK15"/>
            <w:bookmarkStart w:id="4" w:name="OLE_LINK9"/>
            <w:bookmarkStart w:id="5" w:name="OLE_LINK10"/>
            <w:r>
              <w:rPr>
                <w:rFonts w:hint="default" w:ascii="Times New Roman" w:hAnsi="Times New Roman" w:eastAsia="宋体" w:cs="宋体"/>
                <w:sz w:val="22"/>
                <w:szCs w:val="28"/>
                <w:highlight w:val="none"/>
                <w:vertAlign w:val="baseline"/>
                <w:lang w:val="en-US" w:eastAsia="zh-CN"/>
              </w:rPr>
              <w:t>绒丝+羽丝</w:t>
            </w:r>
            <w:bookmarkEnd w:id="3"/>
            <w:bookmarkEnd w:id="4"/>
            <w:bookmarkEnd w:id="5"/>
          </w:p>
        </w:tc>
        <w:tc>
          <w:tcPr>
            <w:tcW w:w="1663" w:type="pct"/>
            <w:tcBorders>
              <w:top w:val="outset" w:color="000000" w:sz="6" w:space="0"/>
              <w:left w:val="single" w:color="auto" w:sz="4" w:space="0"/>
              <w:bottom w:val="outset" w:color="000000" w:sz="6" w:space="0"/>
              <w:right w:val="single" w:color="auto" w:sz="4" w:space="0"/>
            </w:tcBorders>
            <w:noWrap w:val="0"/>
            <w:vAlign w:val="center"/>
          </w:tcPr>
          <w:p w14:paraId="0CC9B63E">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bookmarkStart w:id="6" w:name="OLE_LINK12"/>
            <w:bookmarkStart w:id="7" w:name="OLE_LINK11"/>
            <w:r>
              <w:rPr>
                <w:rFonts w:hint="default" w:ascii="Times New Roman" w:hAnsi="Times New Roman" w:eastAsia="宋体" w:cs="宋体"/>
                <w:sz w:val="22"/>
                <w:szCs w:val="28"/>
                <w:vertAlign w:val="baseline"/>
                <w:lang w:val="en-US" w:eastAsia="zh-CN"/>
              </w:rPr>
              <w:t>GB/T 14272</w:t>
            </w:r>
            <w:bookmarkEnd w:id="6"/>
            <w:bookmarkEnd w:id="7"/>
            <w:r>
              <w:rPr>
                <w:rFonts w:hint="default" w:ascii="Times New Roman" w:hAnsi="Times New Roman" w:eastAsia="宋体" w:cs="宋体"/>
                <w:sz w:val="22"/>
                <w:szCs w:val="28"/>
                <w:vertAlign w:val="baseline"/>
                <w:lang w:val="en-US" w:eastAsia="zh-CN"/>
              </w:rPr>
              <w:t>—2021</w:t>
            </w:r>
          </w:p>
        </w:tc>
        <w:tc>
          <w:tcPr>
            <w:tcW w:w="1388" w:type="pct"/>
            <w:tcBorders>
              <w:top w:val="outset" w:color="000000" w:sz="6" w:space="0"/>
              <w:left w:val="single" w:color="auto" w:sz="4" w:space="0"/>
              <w:bottom w:val="outset" w:color="000000" w:sz="6" w:space="0"/>
              <w:right w:val="outset" w:color="000000" w:sz="6" w:space="0"/>
            </w:tcBorders>
            <w:noWrap w:val="0"/>
            <w:vAlign w:val="center"/>
          </w:tcPr>
          <w:p w14:paraId="2F97A5D5">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10288—2016</w:t>
            </w:r>
          </w:p>
          <w:p w14:paraId="171DB7CD">
            <w:pPr>
              <w:keepNext w:val="0"/>
              <w:keepLines w:val="0"/>
              <w:pageBreakBefore w:val="0"/>
              <w:widowControl w:val="0"/>
              <w:kinsoku/>
              <w:wordWrap/>
              <w:overflowPunct/>
              <w:topLinePunct w:val="0"/>
              <w:autoSpaceDE/>
              <w:autoSpaceDN/>
              <w:bidi w:val="0"/>
              <w:adjustRightInd/>
              <w:snapToGrid/>
              <w:spacing w:line="240" w:lineRule="auto"/>
              <w:ind w:left="0" w:leftChars="0" w:right="0" w:rightChars="0" w:firstLine="0" w:firstLineChars="0"/>
              <w:jc w:val="center"/>
              <w:textAlignment w:val="auto"/>
              <w:rPr>
                <w:rFonts w:hint="default" w:ascii="Times New Roman" w:hAnsi="Times New Roman" w:eastAsia="宋体" w:cs="宋体"/>
                <w:sz w:val="22"/>
                <w:szCs w:val="28"/>
                <w:vertAlign w:val="baseline"/>
                <w:lang w:val="en-US" w:eastAsia="zh-CN"/>
              </w:rPr>
            </w:pPr>
            <w:r>
              <w:rPr>
                <w:rFonts w:hint="default" w:ascii="Times New Roman" w:hAnsi="Times New Roman" w:eastAsia="宋体" w:cs="宋体"/>
                <w:sz w:val="22"/>
                <w:szCs w:val="28"/>
                <w:vertAlign w:val="baseline"/>
                <w:lang w:val="en-US" w:eastAsia="zh-CN"/>
              </w:rPr>
              <w:t>GB/T 14272—2021</w:t>
            </w:r>
          </w:p>
        </w:tc>
      </w:tr>
    </w:tbl>
    <w:p w14:paraId="7675A6A7">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5A86E44E">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1F1CD165">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71FBFF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18401—2010 国家纺织产品基本安全技术规范</w:t>
      </w:r>
    </w:p>
    <w:p w14:paraId="1E3E00C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 31701—2015 婴幼儿及儿童纺织产品安全技术规范</w:t>
      </w:r>
    </w:p>
    <w:p w14:paraId="498AD48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14272—2021 羽绒服装</w:t>
      </w:r>
    </w:p>
    <w:p w14:paraId="09B795C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GB/T 29862—2013 纺织品 纤维含量的标识</w:t>
      </w:r>
      <w:bookmarkStart w:id="8" w:name="_GoBack"/>
      <w:bookmarkEnd w:id="8"/>
    </w:p>
    <w:p w14:paraId="2BBCF7D9">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default" w:ascii="Times New Roman" w:hAnsi="Times New Roman" w:eastAsia="宋体" w:cs="Times New Roman"/>
          <w:sz w:val="22"/>
          <w:szCs w:val="28"/>
        </w:rPr>
      </w:pPr>
      <w:r>
        <w:rPr>
          <w:rFonts w:hint="default" w:ascii="Times New Roman" w:hAnsi="Times New Roman" w:eastAsia="宋体" w:cs="Times New Roman"/>
          <w:sz w:val="22"/>
          <w:szCs w:val="28"/>
        </w:rPr>
        <w:t>FZ/T 73053—2015 针织羽绒服装</w:t>
      </w:r>
    </w:p>
    <w:p w14:paraId="2057A79C">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04CAE564">
      <w:pPr>
        <w:snapToGrid w:val="0"/>
        <w:spacing w:line="440" w:lineRule="exact"/>
        <w:ind w:firstLine="420" w:firstLineChars="200"/>
        <w:rPr>
          <w:color w:val="000000"/>
          <w:sz w:val="21"/>
          <w:szCs w:val="21"/>
        </w:rPr>
      </w:pPr>
      <w:r>
        <w:rPr>
          <w:color w:val="000000"/>
          <w:sz w:val="21"/>
          <w:szCs w:val="21"/>
        </w:rPr>
        <w:t>经检验，检验项目全部合格，判定为被抽查产品所检项目未发现不合格；检验项目中任一项或一项以上不合格，判定为被抽查产品不合格。</w:t>
      </w:r>
    </w:p>
    <w:p w14:paraId="1E527B75">
      <w:pPr>
        <w:snapToGrid w:val="0"/>
        <w:spacing w:line="440" w:lineRule="exact"/>
        <w:ind w:firstLine="417" w:firstLineChars="199"/>
        <w:rPr>
          <w:color w:val="000000"/>
          <w:sz w:val="21"/>
          <w:szCs w:val="21"/>
        </w:rPr>
      </w:pPr>
      <w:r>
        <w:rPr>
          <w:color w:val="000000"/>
          <w:sz w:val="21"/>
          <w:szCs w:val="21"/>
        </w:rPr>
        <w:t>若被检产品明示的质量要求高于本细则中检验项目依据的标准要求时，应按被检产品明示的质量要求判定。</w:t>
      </w:r>
    </w:p>
    <w:p w14:paraId="77424E51">
      <w:pPr>
        <w:snapToGrid w:val="0"/>
        <w:spacing w:line="440" w:lineRule="exact"/>
        <w:ind w:firstLine="417" w:firstLineChars="199"/>
        <w:rPr>
          <w:color w:val="000000"/>
          <w:sz w:val="21"/>
          <w:szCs w:val="21"/>
        </w:rPr>
      </w:pPr>
      <w:r>
        <w:rPr>
          <w:color w:val="000000"/>
          <w:sz w:val="21"/>
          <w:szCs w:val="21"/>
        </w:rPr>
        <w:t>若被检产品明示的质量要求低于本细则中检验项目依据的强制性标准要求时，应按照强制性标准要求判定。</w:t>
      </w:r>
    </w:p>
    <w:p w14:paraId="01B8835C">
      <w:pPr>
        <w:snapToGrid w:val="0"/>
        <w:spacing w:line="440" w:lineRule="exact"/>
        <w:ind w:firstLine="417" w:firstLineChars="199"/>
        <w:rPr>
          <w:color w:val="000000"/>
          <w:sz w:val="21"/>
          <w:szCs w:val="21"/>
        </w:rPr>
      </w:pPr>
      <w:r>
        <w:rPr>
          <w:color w:val="000000"/>
          <w:sz w:val="21"/>
          <w:szCs w:val="21"/>
        </w:rPr>
        <w:t>若被检产品明示的质量要求低于或包含本细则中检验项目依据的推荐性标准要求时，应以被检产品明示的质量要求判定。</w:t>
      </w:r>
    </w:p>
    <w:p w14:paraId="19053658">
      <w:pPr>
        <w:snapToGrid w:val="0"/>
        <w:spacing w:line="440" w:lineRule="exact"/>
        <w:ind w:firstLine="417" w:firstLineChars="199"/>
        <w:rPr>
          <w:color w:val="000000"/>
          <w:sz w:val="21"/>
          <w:szCs w:val="21"/>
        </w:rPr>
      </w:pPr>
      <w:r>
        <w:rPr>
          <w:color w:val="000000"/>
          <w:sz w:val="21"/>
          <w:szCs w:val="21"/>
        </w:rPr>
        <w:t>若被检产品明示的质量要求缺少本细则中检验项目依据的强制性标准要求时，应按照强制性标准要求判定。</w:t>
      </w:r>
    </w:p>
    <w:p w14:paraId="27482ACF">
      <w:pPr>
        <w:snapToGrid w:val="0"/>
        <w:spacing w:line="440" w:lineRule="exact"/>
        <w:ind w:firstLine="417" w:firstLineChars="199"/>
        <w:rPr>
          <w:color w:val="000000"/>
          <w:sz w:val="21"/>
          <w:szCs w:val="21"/>
        </w:rPr>
      </w:pPr>
      <w:r>
        <w:rPr>
          <w:color w:val="000000"/>
          <w:sz w:val="21"/>
          <w:szCs w:val="21"/>
        </w:rPr>
        <w:t>若被检产品明示的质量要求缺少本细则中检验项目依据的推荐性标准要求时，该项目不参与判定。</w:t>
      </w:r>
    </w:p>
    <w:p w14:paraId="177D5F0D">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1"/>
          <w:szCs w:val="21"/>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2551A35"/>
    <w:rsid w:val="036455F8"/>
    <w:rsid w:val="06E03F13"/>
    <w:rsid w:val="070E6657"/>
    <w:rsid w:val="0CD143AE"/>
    <w:rsid w:val="0D343503"/>
    <w:rsid w:val="13144FF5"/>
    <w:rsid w:val="149E7B87"/>
    <w:rsid w:val="156C55BC"/>
    <w:rsid w:val="1E7B23CC"/>
    <w:rsid w:val="222A1341"/>
    <w:rsid w:val="29B570DA"/>
    <w:rsid w:val="2B4863B8"/>
    <w:rsid w:val="2B830B12"/>
    <w:rsid w:val="2E5977D4"/>
    <w:rsid w:val="2E8C4181"/>
    <w:rsid w:val="2ED81174"/>
    <w:rsid w:val="2F972507"/>
    <w:rsid w:val="38A81BB8"/>
    <w:rsid w:val="3F9937D9"/>
    <w:rsid w:val="408E5B37"/>
    <w:rsid w:val="42C54070"/>
    <w:rsid w:val="43081BD1"/>
    <w:rsid w:val="439E0D9F"/>
    <w:rsid w:val="46050649"/>
    <w:rsid w:val="46F26E20"/>
    <w:rsid w:val="470C0994"/>
    <w:rsid w:val="48797678"/>
    <w:rsid w:val="4A130B88"/>
    <w:rsid w:val="4C6D02BD"/>
    <w:rsid w:val="4E227B86"/>
    <w:rsid w:val="4E3A2F69"/>
    <w:rsid w:val="523C53F3"/>
    <w:rsid w:val="534D3EB1"/>
    <w:rsid w:val="58705DF6"/>
    <w:rsid w:val="592E4311"/>
    <w:rsid w:val="61B214A5"/>
    <w:rsid w:val="62481EF4"/>
    <w:rsid w:val="649B4036"/>
    <w:rsid w:val="68932257"/>
    <w:rsid w:val="6E79418D"/>
    <w:rsid w:val="6FD607DD"/>
    <w:rsid w:val="6FF46EB5"/>
    <w:rsid w:val="71BA4C42"/>
    <w:rsid w:val="737C0D9D"/>
    <w:rsid w:val="73C038EC"/>
    <w:rsid w:val="74422159"/>
    <w:rsid w:val="77062301"/>
    <w:rsid w:val="7947444E"/>
    <w:rsid w:val="799A287B"/>
    <w:rsid w:val="7C093CE8"/>
    <w:rsid w:val="7E4E5C75"/>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7">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997</Words>
  <Characters>1978</Characters>
  <Lines>0</Lines>
  <Paragraphs>0</Paragraphs>
  <TotalTime>32</TotalTime>
  <ScaleCrop>false</ScaleCrop>
  <LinksUpToDate>false</LinksUpToDate>
  <CharactersWithSpaces>2078</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2026-07-14T02:48:42Z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5170122B829D4F57985FCF781E6884BC_13</vt:lpwstr>
  </property>
  <property fmtid="{D5CDD505-2E9C-101B-9397-08002B2CF9AE}" pid="4" name="KSOTemplateDocerSaveRecord">
    <vt:lpwstr>eyJoZGlkIjoiYjU4YTEyOWI0YTA1NzExMDUyM2E4NzRjZjM1MmQ2OWEiLCJ1c2VySWQiOiIxMTI2NTcyODI0In0=</vt:lpwstr>
  </property>
</Properties>
</file>